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-114296</wp:posOffset>
            </wp:positionH>
            <wp:positionV relativeFrom="paragraph">
              <wp:posOffset>-474340</wp:posOffset>
            </wp:positionV>
            <wp:extent cx="6057900" cy="931985"/>
            <wp:effectExtent b="0" l="0" r="0" t="0"/>
            <wp:wrapNone/>
            <wp:docPr descr="TMC Logo - No White" id="22" name="image1.png"/>
            <a:graphic>
              <a:graphicData uri="http://schemas.openxmlformats.org/drawingml/2006/picture">
                <pic:pic>
                  <pic:nvPicPr>
                    <pic:cNvPr descr="TMC Logo - No Whi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3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254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24406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254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63500</wp:posOffset>
                </wp:positionV>
                <wp:extent cx="3000375" cy="6000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49425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3-1 Leaside Park Drive, Toronto ON M4H 1R1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Ph: 416-424-1976  Fax: 647-689-2933 www.themidwivesclinic.ca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63500</wp:posOffset>
                </wp:positionV>
                <wp:extent cx="3000375" cy="600075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 ARE G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ROWING!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REGISTRANT POSITION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dream of working in a collaborative, caring, well-established practice with full scope, excellent hospital relationships and a wonderful and diverse clientele? Then our practice is for you!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Midwives Clinic of East York-Don Mills (TMC) is a large urban practice located in the east end of Toronto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in the Thorncliffe Park neighbourhood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We have privileges at Michael Garron Hospital and the Toronto Birth Centre. We serve a diverse clientele </w:t>
      </w:r>
      <w:r w:rsidDel="00000000" w:rsidR="00000000" w:rsidRPr="00000000">
        <w:rPr>
          <w:rFonts w:ascii="Arial" w:cs="Arial" w:eastAsia="Arial" w:hAnsi="Arial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large number of uninsured clients. One of our teams works out of Women’s Health in Women’s Hands CHC, a community health centre serving uninsured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0e49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acialized people from the African, Black, Caribbean, Latin American and South Asian communities in dow</w:t>
      </w:r>
      <w:r w:rsidDel="00000000" w:rsidR="00000000" w:rsidRPr="00000000">
        <w:rPr>
          <w:rFonts w:ascii="Arial" w:cs="Arial" w:eastAsia="Arial" w:hAnsi="Arial"/>
          <w:rtl w:val="0"/>
        </w:rPr>
        <w:t xml:space="preserve">ntown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Toronto.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rtl w:val="0"/>
        </w:rPr>
        <w:t xml:space="preserve">seeking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full time </w:t>
      </w:r>
      <w:r w:rsidDel="00000000" w:rsidR="00000000" w:rsidRPr="00000000">
        <w:rPr>
          <w:rFonts w:ascii="Arial" w:cs="Arial" w:eastAsia="Arial" w:hAnsi="Arial"/>
          <w:rtl w:val="0"/>
        </w:rPr>
        <w:t xml:space="preserve">GR for a start date around February (some flexibility). This position is in a team of 8 that works maximum 24 hours on call at a time.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 invite MEP or IMPP graduates to apply and we strongly encourage </w:t>
      </w:r>
      <w:r w:rsidDel="00000000" w:rsidR="00000000" w:rsidRPr="00000000">
        <w:rPr>
          <w:rFonts w:ascii="Arial" w:cs="Arial" w:eastAsia="Arial" w:hAnsi="Arial"/>
          <w:rtl w:val="0"/>
        </w:rPr>
        <w:t xml:space="preserve">IB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 applicants. Additional languages spoken </w:t>
      </w:r>
      <w:r w:rsidDel="00000000" w:rsidR="00000000" w:rsidRPr="00000000">
        <w:rPr>
          <w:rFonts w:ascii="Arial" w:cs="Arial" w:eastAsia="Arial" w:hAnsi="Arial"/>
          <w:rtl w:val="0"/>
        </w:rPr>
        <w:t xml:space="preserve">would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an asset.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value work-life balance and a fair and welcoming practice culture.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interested please send a letter of interest and your CV with “</w:t>
      </w:r>
      <w:r w:rsidDel="00000000" w:rsidR="00000000" w:rsidRPr="00000000">
        <w:rPr>
          <w:rFonts w:ascii="Arial" w:cs="Arial" w:eastAsia="Arial" w:hAnsi="Arial"/>
          <w:rtl w:val="0"/>
        </w:rPr>
        <w:t xml:space="preserve">GR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Position” in the subject line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frontdesk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themidwivesclinic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fax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416-424-2593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look forward to hearing from you!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259" w:left="1418" w:right="1418" w:header="7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hadows Into Light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Noto Sans Symbols" w:cs="Noto Sans Symbols" w:eastAsia="Noto Sans Symbols" w:hAnsi="Noto Sans Symbols"/>
        <w:color w:val="333333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 Kristen Campbell RM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Melissa Chan RM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Sarah Davies RM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N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ess Dixon RM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Jennifer Gardiner RM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Kambili Husbands RM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Nabal Kanaan RM 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Sophia Kehler RM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Sarah Leslie RM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Melinda Levy RM  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        Christie Lockhart RM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Arian Navickas RM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 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Julie Ngu RM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Katherine O’Brien RM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Mackenzie Macht RM 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     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Meredith McLean RM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Simone Rosenberg RM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Noushin Shameli RM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Sarah Wilson RM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Hanan Yousuf RM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hadows Into Light" w:cs="Shadows Into Light" w:eastAsia="Shadows Into Light" w:hAnsi="Shadows Into Ligh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hadows Into Light" w:cs="Shadows Into Light" w:eastAsia="Shadows Into Light" w:hAnsi="Shadows Into Ligh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hadows Into Light" w:cs="Shadows Into Light" w:eastAsia="Shadows Into Light" w:hAnsi="Shadows Into Ligh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ndy" w:hAnsi="Andy"/>
      <w:b w:val="1"/>
      <w:bCs w:val="1"/>
      <w:sz w:val="32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hAnsi="Arial"/>
      <w:b w:val="1"/>
      <w:sz w:val="28"/>
      <w:u w:val="single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ascii="Andy" w:hAnsi="Andy"/>
      <w:b w:val="1"/>
      <w:bCs w:val="1"/>
    </w:rPr>
  </w:style>
  <w:style w:type="paragraph" w:styleId="Heading4">
    <w:name w:val="heading 4"/>
    <w:basedOn w:val="Normal"/>
    <w:next w:val="Normal"/>
    <w:qFormat w:val="1"/>
    <w:pPr>
      <w:keepNext w:val="1"/>
      <w:jc w:val="center"/>
      <w:outlineLvl w:val="3"/>
    </w:pPr>
    <w:rPr>
      <w:rFonts w:ascii="Andy" w:hAnsi="Andy"/>
      <w:b w:val="1"/>
      <w:bCs w:val="1"/>
      <w:sz w:val="28"/>
    </w:rPr>
  </w:style>
  <w:style w:type="paragraph" w:styleId="Heading5">
    <w:name w:val="heading 5"/>
    <w:basedOn w:val="Normal"/>
    <w:next w:val="Normal"/>
    <w:qFormat w:val="1"/>
    <w:pPr>
      <w:keepNext w:val="1"/>
      <w:jc w:val="center"/>
      <w:outlineLvl w:val="4"/>
    </w:pPr>
    <w:rPr>
      <w:rFonts w:ascii="Andy" w:hAnsi="Andy"/>
      <w:sz w:val="28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rFonts w:ascii="Arial" w:hAnsi="Arial"/>
      <w:b w:val="1"/>
      <w:i w:val="1"/>
      <w:iCs w:val="1"/>
    </w:rPr>
  </w:style>
  <w:style w:type="paragraph" w:styleId="Heading8">
    <w:name w:val="heading 8"/>
    <w:basedOn w:val="Normal"/>
    <w:next w:val="Normal"/>
    <w:qFormat w:val="1"/>
    <w:pPr>
      <w:keepNext w:val="1"/>
      <w:jc w:val="center"/>
      <w:outlineLvl w:val="7"/>
    </w:pPr>
    <w:rPr>
      <w:rFonts w:ascii="Book Antiqua" w:hAnsi="Book Antiqua"/>
      <w:b w:val="1"/>
      <w:bCs w:val="1"/>
      <w:i w:val="1"/>
      <w:iCs w:val="1"/>
      <w:sz w:val="28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Arial" w:cs="Arial" w:eastAsia="Times" w:hAnsi="Arial"/>
      <w:b w:val="1"/>
      <w:b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rPr>
      <w:rFonts w:ascii="Comic Sans MS" w:hAnsi="Comic Sans MS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A726E0"/>
    <w:rPr>
      <w:sz w:val="24"/>
      <w:szCs w:val="24"/>
      <w:lang w:eastAsia="en-US" w:val="en-US"/>
    </w:rPr>
  </w:style>
  <w:style w:type="character" w:styleId="FollowedHyperlink">
    <w:name w:val="FollowedHyperlink"/>
    <w:basedOn w:val="DefaultParagraphFont"/>
    <w:rsid w:val="00961E1C"/>
    <w:rPr>
      <w:color w:val="800080" w:themeColor="followedHyperlink"/>
      <w:u w:val="single"/>
    </w:rPr>
  </w:style>
  <w:style w:type="table" w:styleId="TableGrid">
    <w:name w:val="Table Grid"/>
    <w:basedOn w:val="TableNormal"/>
    <w:rsid w:val="00D207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link w:val="BodyText2Char"/>
    <w:rsid w:val="002A403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2A403D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254C82"/>
    <w:pPr>
      <w:spacing w:after="100" w:afterAutospacing="1" w:before="100" w:beforeAutospacing="1"/>
    </w:pPr>
    <w:rPr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kAxvM3ezwhCe0OtgEgA2Mv+XA==">CgMxLjA4AHIhMTNodW5rbjh4STFHS3Jscm41R2RlbzlTOFZVRXo0amZB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2021-01-07T17:58:00Z</dcterms:created>
  <dc:creator>Main</dc:creator>
</cp:coreProperties>
</file>